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26-06-09-046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Offenes Verfahren: VE 4 Schadstoffsanierungs- und Rückbauarbeiten - Schulzentrum Brilon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Im Schulzentrum in Brilon, bestehend aus der Heinrich-Lübke-Schule (HLS) und dem
Gymnasium Petrinum (PET), wurde eine Schadstoffbelastung (PCB, KMF) festgestellt,
woraufhin ein Konzept aus Teilsanierung, Teilrückbau und Teilneubau entwickelt wurde.
Die Schadstoffsanierungs- und Abbrucharbeiten, die in diesem LV ausgeschrieben sind,
beziehen sich auf den Bestand des Gymnasiums Petrinum. Bei dieser Vergabeeinheit
handelt es sich überwiegend um eine Sanierung im Bestand. Um die Bedarfe der Schule
abdecken zu können, wird im Erdgeschoss eine Erweiterung für die Verwaltung in
Massivbauweise vorgesehen und ein Oberstufenhaus in Holzrahmenbauweise im 1. OG, als
Staffelgeschoss, errichtet.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